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00F6F52B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396B5313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655ECD4D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369B8049" w14:textId="77777777" w:rsidTr="00A93ACE">
        <w:trPr>
          <w:trHeight w:val="2685"/>
        </w:trPr>
        <w:tc>
          <w:tcPr>
            <w:tcW w:w="9781" w:type="dxa"/>
          </w:tcPr>
          <w:p w14:paraId="1D281F35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2741EAA8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26D3E911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2AA0EB96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7A7A906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Všeobecné pokyny k vyplneniu tabuľky finančnej analýzy:</w:t>
            </w:r>
          </w:p>
          <w:p w14:paraId="4B01A1E2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18AC25A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28B9A2F2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2D6D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2CD2A967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7853E46B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74ACDF2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26FAA335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1135B585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56ED79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48521D2A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548159F3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  <w:color w:val="000000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</w:rPr>
              <w:t>C12</w:t>
            </w:r>
            <w:r w:rsidRPr="00466F14">
              <w:rPr>
                <w:rFonts w:cs="Calibri"/>
                <w:color w:val="000000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0164A6AF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</w:rPr>
              <w:t xml:space="preserve">Výpočet výšky </w:t>
            </w:r>
            <w:r w:rsidR="00E71F44">
              <w:rPr>
                <w:rFonts w:cs="Calibri"/>
                <w:b/>
              </w:rPr>
              <w:t xml:space="preserve">Čistej súčasnej hodnoty - </w:t>
            </w:r>
            <w:r w:rsidRPr="00466F14">
              <w:rPr>
                <w:rFonts w:cs="Calibri"/>
                <w:b/>
              </w:rPr>
              <w:t>ČSH</w:t>
            </w:r>
          </w:p>
          <w:p w14:paraId="0D5B2E2A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7E06C9A3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</w:rPr>
              <w:t>je potrebné zistiť hodnoty</w:t>
            </w:r>
            <w:r w:rsidRPr="00466F14">
              <w:rPr>
                <w:rFonts w:cs="Calibri"/>
                <w:color w:val="000000"/>
              </w:rPr>
              <w:t xml:space="preserve"> za celé obdobie ekonomickej životnosti kumulatívne.</w:t>
            </w:r>
          </w:p>
          <w:p w14:paraId="6572696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Výpočet miery výnosovosti</w:t>
            </w:r>
          </w:p>
          <w:p w14:paraId="7141E43D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color w:val="000000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</w:rPr>
              <w:t>Miera</w:t>
            </w:r>
            <w:r w:rsidR="00972BD8" w:rsidRPr="00466F14">
              <w:rPr>
                <w:rFonts w:cs="Calibri"/>
                <w:b/>
                <w:color w:val="000000"/>
              </w:rPr>
              <w:t> </w:t>
            </w:r>
            <w:r w:rsidRPr="00466F14">
              <w:rPr>
                <w:rFonts w:cs="Calibri"/>
                <w:b/>
                <w:color w:val="000000"/>
              </w:rPr>
              <w:t>výnosovosti by mala byť rovná alebo vyššia ako 1 (100%).</w:t>
            </w:r>
          </w:p>
          <w:p w14:paraId="07DDD9DF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Za účelom správneho posúdenia miery výnosovosti je potrebné zistiť hodnotu za celé obdobie ekonomickej životnosti kumulatívne.</w:t>
            </w:r>
          </w:p>
          <w:p w14:paraId="64FBEE17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Finančná udržateľnosť prevádzky</w:t>
            </w:r>
          </w:p>
          <w:p w14:paraId="2FE9DD65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39DF3AE4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43E3167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Výpočet nákladov</w:t>
            </w:r>
          </w:p>
          <w:p w14:paraId="79E0D02D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V súvislosti s realizáciou projekt vznikajú žiadateľovi/prijímateľovi viaceré typy nákladov, ktoré sa delia podľa oprávnenosti a typu:</w:t>
            </w:r>
          </w:p>
          <w:p w14:paraId="409F5A77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Delenie podľa oprávnenosti:</w:t>
            </w:r>
          </w:p>
          <w:p w14:paraId="3C5E547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oprávnené,</w:t>
            </w:r>
          </w:p>
          <w:p w14:paraId="09DBD6F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neoprávnené.</w:t>
            </w:r>
          </w:p>
          <w:p w14:paraId="51D1906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Delenie podľa typu:</w:t>
            </w:r>
          </w:p>
          <w:p w14:paraId="6F9C8EE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investičné,</w:t>
            </w:r>
          </w:p>
          <w:p w14:paraId="6422766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- prevádzkové.</w:t>
            </w:r>
          </w:p>
          <w:p w14:paraId="1925227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</w:rPr>
              <w:t>ŽoP</w:t>
            </w:r>
            <w:r w:rsidR="00972BD8" w:rsidRPr="00466F14">
              <w:rPr>
                <w:rFonts w:cs="Calibri"/>
                <w:color w:val="000000"/>
              </w:rPr>
              <w:t>r</w:t>
            </w:r>
            <w:proofErr w:type="spellEnd"/>
            <w:r w:rsidRPr="00466F14">
              <w:rPr>
                <w:rFonts w:cs="Calibri"/>
                <w:color w:val="000000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</w:rPr>
              <w:t>príspevku</w:t>
            </w:r>
            <w:r w:rsidRPr="00466F14">
              <w:rPr>
                <w:rFonts w:cs="Calibri"/>
                <w:color w:val="000000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</w:rPr>
              <w:t> </w:t>
            </w:r>
            <w:r w:rsidRPr="00466F14">
              <w:rPr>
                <w:rFonts w:cs="Calibri"/>
                <w:color w:val="000000"/>
              </w:rPr>
              <w:t>investičné výdavky vyvolané prvotnou investíciou a pod.).</w:t>
            </w:r>
          </w:p>
          <w:p w14:paraId="40A7E8ED" w14:textId="77777777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</w:t>
            </w:r>
            <w:r w:rsidR="00CA32E4" w:rsidRPr="00466F14">
              <w:rPr>
                <w:rFonts w:cs="Calibri"/>
                <w:color w:val="000000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</w:rPr>
              <w:t>hodntoy</w:t>
            </w:r>
            <w:proofErr w:type="spellEnd"/>
            <w:r>
              <w:rPr>
                <w:rFonts w:cs="Calibri"/>
                <w:color w:val="000000"/>
              </w:rPr>
              <w:t xml:space="preserve"> DPH</w:t>
            </w:r>
            <w:r w:rsidR="00CA32E4" w:rsidRPr="00466F14">
              <w:rPr>
                <w:rFonts w:cs="Calibri"/>
                <w:color w:val="000000"/>
              </w:rPr>
              <w:t xml:space="preserve">. V prípade platcu DPH sa </w:t>
            </w:r>
            <w:r>
              <w:rPr>
                <w:rFonts w:cs="Calibri"/>
                <w:color w:val="000000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</w:rPr>
              <w:t>.</w:t>
            </w:r>
          </w:p>
          <w:p w14:paraId="049FA0B2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Žiadateľ vo finančnej analýze nezohľadňuje nárast cien v dôsledku inflácie. Všetky vstupné údaje (ako napr. výška miezd, ceny materiálu, energií, výstupov projektu) uvádza žiadateľ v stálych cenách. Údaje sa </w:t>
            </w:r>
            <w:r w:rsidRPr="00466F14">
              <w:rPr>
                <w:rFonts w:cs="Calibri"/>
              </w:rPr>
              <w:lastRenderedPageBreak/>
              <w:t>uvádzajú v tisícoch EUR zaokrúhlené na jedno desatinné miesto matematicky.</w:t>
            </w:r>
          </w:p>
          <w:p w14:paraId="7AE482E9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I. Investičné náklady</w:t>
            </w:r>
            <w:r w:rsidRPr="00466F14">
              <w:rPr>
                <w:rFonts w:cs="Calibri"/>
                <w:color w:val="000000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6CE3B1BD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B7F11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4E10B2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87653A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E74F2A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78D021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679568D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69E40D6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6A8BCD7F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62680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E26C8A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0EB91D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846DE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1D805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0745DA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1DD7600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4BF894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05782F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848F570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1FC6E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329E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D0169F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4C16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0090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06130E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303026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57EE795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086F6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4A2CF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504BC3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B56A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C5F5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886DC8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9E70F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860025A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6471C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109F5A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621F6B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0285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C0A5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85FB034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8C6CD4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DBD28E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D619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A5D4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CC99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3265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77BB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4AF45BE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9F78AF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89BEC6C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0C99CE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19580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F7E9A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F600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75EA6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C369F13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313645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9FC262F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95199B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A83B82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A3BCD5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1341460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A28D9C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65E976C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6816D3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471A7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8CE1D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64F41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984F8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47B29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9A56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3289A15C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87DCBF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D06944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0724D1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035B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7DF93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3B7D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5B1D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D674D7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0018E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FC8C8A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4C7CF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64810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AB7283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8F6A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EA0F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1E1E3F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F129E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5296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3700CB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CA4A4F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358911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37C2C32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45C6421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1A3848E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F347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D064D7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5D6F0C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1DECEC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BAF06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14AA78A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6AE2CF5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7C5227D3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</w:rPr>
            </w:pPr>
            <w:r w:rsidRPr="00466F14">
              <w:rPr>
                <w:rFonts w:cs="Calibri"/>
                <w:color w:val="000000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76CEBC4A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741A5FC9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6910933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2D99A6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10643E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867DBD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36AC38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1DB800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CCCA8E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27762A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2F3862D3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ED34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5FC16B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Materiál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300FC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7F490C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C63ED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0A8ABD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1D479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24C045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1340A8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4858B2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383F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E4D2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6EEC9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D77A7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5D59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897A89F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94F4D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267B2EC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náklady na zamestnancov a zmluvy uzatvorené podľa zákonníka práce. Ide o celkovú cenu prace – t.j. hrubá mzda a odvody za zamestnancov, ktorí vykonávajú práce súvisiace s realizovanou investíciou (napr. obsluha zariadenia).</w:t>
                  </w:r>
                </w:p>
                <w:p w14:paraId="7F47C33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F196A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D15AA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34079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B7A2E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449F1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017A1A4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D2C93E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23220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821B1F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FB61C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86AF3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A0790A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461E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5BB0353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A0F9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B8702E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588803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0AC6F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24E2FF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C93B76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F0CB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D29914E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7B789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CE393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7585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E9D57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530299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3B898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BB07F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3217B85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B812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6B489D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71A11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E1834E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1B398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1DF113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A410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42FB97A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087E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7E085D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Poplatky a dane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iné poplatky (napr. obci). V prípade daní, ide napr. o daň z nehnuteľnosti. </w:t>
                  </w:r>
                </w:p>
                <w:p w14:paraId="4B7B57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C9840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EDA8C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13FBA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4DA87F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E9EFBD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5F24078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5EB3F6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CEC5A9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25B21B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29A71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FD46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C7AFF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B042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4FB2AFA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9A01D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EA226A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DB13D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A025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1C2D94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3B16536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289A13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42AC8AC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6DF857E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0555C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5D00A0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91E3B9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7E1B3E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8C0664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4820DA8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F6C6F5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CADDEB2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B526B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3EA5B9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0C846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41F7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3BFA1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FA6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82BD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0090B0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545602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185A96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C1B9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02BD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23930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FCF6F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9B5B4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257CBF2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5F814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92DFB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40B99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C13E8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2DBAC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2D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D2A14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34CAF9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D37BD9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E70DF9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B3E4A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FCBFF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00615A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478C0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77D770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BB79A58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FF948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96B314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04F13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A6C0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C22E1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249E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DC1F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B33C4D1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DA8F6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6106E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F6D5EB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1D7E10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1E1CE0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A74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4EEF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31A51AF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C125C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772399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4173E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CE31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34429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28EFAD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DF24A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43BC5FE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IV – Výpočet dani z príjmu</w:t>
            </w:r>
          </w:p>
          <w:p w14:paraId="2CB7AC4F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color w:val="000000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3F1E9BDF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D5A1D8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52C95A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A76AD1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5DB41B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775EF8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0274438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415042C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66554E5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44E80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2ADE4D9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4311A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E28B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001329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8FE48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E3731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BDA873A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876CA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03628C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8C69E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BE50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E15F7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BD07B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82057F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09212CAC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9828B4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025AFAF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Ide o odpisy DHM a DNM v zmysle daňových zákonov. </w:t>
                  </w:r>
                </w:p>
                <w:p w14:paraId="10D1895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18EB45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AA9FA8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5FCBD0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EB66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B775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11087A9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BB73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A5B938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6379DF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EB443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9EDF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DF3C34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B9729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4091482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23147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974CE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26E15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35286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65CF9E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67EBC2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A9728E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1B64C354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  <w:color w:val="000000"/>
              </w:rPr>
              <w:t>Tabuľka č. V – Výpočet miery výnosovosti</w:t>
            </w:r>
            <w:r w:rsidRPr="00466F14">
              <w:rPr>
                <w:rFonts w:cs="Calibri"/>
                <w:color w:val="000000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471E12C1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3A629F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8A5726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E239D2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751E8E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C606457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18F664E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F8AB3B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468E245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7C25F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6DDBA2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3B54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62535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C936C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EB20C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F8CB7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C16320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6BD6E6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C41FAB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3C95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132BC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634D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691B7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F26BC6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7AEB67A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A8B01E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1D3D07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5F0E9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637DB0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7DA92F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17456F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DC773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94CF56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49B4A5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48024F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1773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5AB1F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F699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F66023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770B14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5CB7FE4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86EAA9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8930B3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C231F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A839EC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66FB5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68C1A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DBC9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3E09CDAE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AF61C21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A1F0B6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59C3DF8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025AB8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35EEFA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C1BC277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00013F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9BBD465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92470D8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609BFC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F0ED6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417F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6B3FF7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25B9D9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FB8A5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7FC3A94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5D02D7D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6DE59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investičných nákladov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90C6DE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CE1E1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A08B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A0DFA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54235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1C43952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2601D93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4C5B7A20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C6902C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39C6E6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34329D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2AA376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71CAA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102516F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FD7F16F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6A55DF80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B6C29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F8DC5A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CE408C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5330CE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27942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60FAE411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</w:rPr>
            </w:pPr>
            <w:r w:rsidRPr="00466F14">
              <w:rPr>
                <w:rFonts w:cs="Calibri"/>
                <w:b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</w:rPr>
              <w:t xml:space="preserve"> v časti </w:t>
            </w:r>
            <w:r w:rsidR="00081803" w:rsidRPr="00466F14">
              <w:rPr>
                <w:rFonts w:cs="Calibri"/>
                <w:b/>
              </w:rPr>
              <w:t>7.3</w:t>
            </w:r>
            <w:r w:rsidRPr="00466F14">
              <w:rPr>
                <w:rFonts w:cs="Calibri"/>
                <w:b/>
              </w:rPr>
              <w:t xml:space="preserve"> uvedie, akým spôsobom určil jednotlivé hodnoty vstupujúce do finančnej analýzy a konkrétne vysvetlí ich vývoj v čase.</w:t>
            </w:r>
          </w:p>
          <w:p w14:paraId="140C4ABA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06954BA3" w14:textId="77777777" w:rsidR="00E723DB" w:rsidRPr="00466F14" w:rsidRDefault="00E723DB">
      <w:pPr>
        <w:rPr>
          <w:rFonts w:cs="Calibri"/>
        </w:rPr>
      </w:pPr>
    </w:p>
    <w:sectPr w:rsidR="00E723DB" w:rsidRPr="00466F14" w:rsidSect="00A01C06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2583" w14:textId="77777777" w:rsidR="005B70D4" w:rsidRDefault="005B70D4" w:rsidP="00CA32E4">
      <w:pPr>
        <w:spacing w:after="0" w:line="240" w:lineRule="auto"/>
      </w:pPr>
      <w:r>
        <w:separator/>
      </w:r>
    </w:p>
  </w:endnote>
  <w:endnote w:type="continuationSeparator" w:id="0">
    <w:p w14:paraId="5954C011" w14:textId="77777777" w:rsidR="005B70D4" w:rsidRDefault="005B70D4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7A00" w14:textId="77777777" w:rsidR="005B70D4" w:rsidRDefault="005B70D4" w:rsidP="00CA32E4">
      <w:pPr>
        <w:spacing w:after="0" w:line="240" w:lineRule="auto"/>
      </w:pPr>
      <w:r>
        <w:separator/>
      </w:r>
    </w:p>
  </w:footnote>
  <w:footnote w:type="continuationSeparator" w:id="0">
    <w:p w14:paraId="116F9A4C" w14:textId="77777777" w:rsidR="005B70D4" w:rsidRDefault="005B70D4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D7AE" w14:textId="1A5133A8" w:rsidR="003511E4" w:rsidRDefault="003511E4" w:rsidP="003511E4">
    <w:pPr>
      <w:pStyle w:val="Hlavika"/>
      <w:jc w:val="right"/>
    </w:pPr>
    <w:r>
      <w:t xml:space="preserve">Príloha </w:t>
    </w:r>
    <w:r w:rsidR="00692261">
      <w:t>7</w:t>
    </w:r>
    <w:r w:rsidR="00343F35">
      <w:t>a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2B61F6"/>
    <w:rsid w:val="00343F35"/>
    <w:rsid w:val="00350F65"/>
    <w:rsid w:val="003511E4"/>
    <w:rsid w:val="004215E6"/>
    <w:rsid w:val="00466F14"/>
    <w:rsid w:val="004B2702"/>
    <w:rsid w:val="005A2D87"/>
    <w:rsid w:val="005B70D4"/>
    <w:rsid w:val="00667CD1"/>
    <w:rsid w:val="00692261"/>
    <w:rsid w:val="00700054"/>
    <w:rsid w:val="007155EA"/>
    <w:rsid w:val="00715C4D"/>
    <w:rsid w:val="00772ED7"/>
    <w:rsid w:val="00972BD8"/>
    <w:rsid w:val="00A01C06"/>
    <w:rsid w:val="00A93ACE"/>
    <w:rsid w:val="00B7488D"/>
    <w:rsid w:val="00C90D29"/>
    <w:rsid w:val="00CA32E4"/>
    <w:rsid w:val="00CC0AED"/>
    <w:rsid w:val="00CF766D"/>
    <w:rsid w:val="00D2076E"/>
    <w:rsid w:val="00DE1B8F"/>
    <w:rsid w:val="00E116D1"/>
    <w:rsid w:val="00E71F44"/>
    <w:rsid w:val="00E723DB"/>
    <w:rsid w:val="00EB0428"/>
    <w:rsid w:val="00F23E71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1FAD8"/>
  <w15:docId w15:val="{69027F00-C590-42F0-8EA7-1BB00904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Peter Kubica</cp:lastModifiedBy>
  <cp:revision>8</cp:revision>
  <dcterms:created xsi:type="dcterms:W3CDTF">2019-06-11T20:06:00Z</dcterms:created>
  <dcterms:modified xsi:type="dcterms:W3CDTF">2023-01-17T09:12:00Z</dcterms:modified>
</cp:coreProperties>
</file>