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97" w:rsidRDefault="001D5797" w:rsidP="001D5797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:rsidR="001D5797" w:rsidRDefault="001D5797" w:rsidP="001D5797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/>
      </w:tblPr>
      <w:tblGrid>
        <w:gridCol w:w="14601"/>
      </w:tblGrid>
      <w:tr w:rsidR="001D5797" w:rsidRPr="009B0208" w:rsidTr="00262179">
        <w:tc>
          <w:tcPr>
            <w:tcW w:w="14601" w:type="dxa"/>
            <w:shd w:val="clear" w:color="auto" w:fill="A6A6A6" w:themeFill="background1" w:themeFillShade="A6"/>
          </w:tcPr>
          <w:p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:rsidR="001D5797" w:rsidRPr="009B0208" w:rsidRDefault="001D5797" w:rsidP="001D5797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:rsidR="001D5797" w:rsidRPr="009B0208" w:rsidRDefault="001D5797" w:rsidP="001D5797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:rsidR="001D5797" w:rsidRPr="00D41226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:rsidR="001D5797" w:rsidRPr="00387357" w:rsidRDefault="001D5797" w:rsidP="001D5797">
      <w:pPr>
        <w:ind w:left="-426"/>
        <w:rPr>
          <w:rFonts w:asciiTheme="minorHAnsi" w:hAnsiTheme="minorHAnsi" w:cstheme="minorHAnsi"/>
          <w:b/>
          <w:sz w:val="28"/>
        </w:rPr>
      </w:pPr>
    </w:p>
    <w:p w:rsidR="001D5797" w:rsidRDefault="001D5797"/>
    <w:p w:rsidR="001D5797" w:rsidRPr="001D5797" w:rsidRDefault="001D5797" w:rsidP="001D5797"/>
    <w:p w:rsidR="001D5797" w:rsidRPr="001D5797" w:rsidRDefault="001D5797" w:rsidP="001D5797"/>
    <w:p w:rsidR="001D5797" w:rsidRPr="001D5797" w:rsidRDefault="001D5797" w:rsidP="001D5797"/>
    <w:p w:rsidR="001D5797" w:rsidRPr="001D5797" w:rsidRDefault="001D5797" w:rsidP="001D5797"/>
    <w:p w:rsidR="001D5797" w:rsidRPr="001D5797" w:rsidRDefault="001D5797" w:rsidP="001D5797"/>
    <w:p w:rsidR="001D5797" w:rsidRPr="001D5797" w:rsidRDefault="001D5797" w:rsidP="001D5797"/>
    <w:p w:rsidR="001D5797" w:rsidRPr="001D5797" w:rsidRDefault="001D5797" w:rsidP="001D5797"/>
    <w:p w:rsidR="001D5797" w:rsidRPr="001D5797" w:rsidRDefault="001D5797" w:rsidP="001D5797"/>
    <w:p w:rsidR="001D5797" w:rsidRDefault="001D5797" w:rsidP="001D5797"/>
    <w:p w:rsidR="001D5797" w:rsidRDefault="001D5797" w:rsidP="001D5797"/>
    <w:p w:rsidR="00DB0356" w:rsidRDefault="00DB0356" w:rsidP="001D5797">
      <w:pPr>
        <w:jc w:val="center"/>
      </w:pPr>
    </w:p>
    <w:p w:rsidR="001D5797" w:rsidRDefault="001D5797" w:rsidP="001D5797">
      <w:pPr>
        <w:jc w:val="center"/>
      </w:pPr>
    </w:p>
    <w:p w:rsidR="001D5797" w:rsidRDefault="001D5797" w:rsidP="001D5797">
      <w:pPr>
        <w:jc w:val="center"/>
      </w:pPr>
    </w:p>
    <w:p w:rsidR="001D5797" w:rsidRDefault="001D5797" w:rsidP="001D5797">
      <w:pPr>
        <w:jc w:val="center"/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/>
      </w:tblPr>
      <w:tblGrid>
        <w:gridCol w:w="5922"/>
        <w:gridCol w:w="8505"/>
      </w:tblGrid>
      <w:tr w:rsidR="001D5797" w:rsidRPr="009B0208" w:rsidTr="00262179">
        <w:trPr>
          <w:cnfStyle w:val="100000000000"/>
          <w:trHeight w:val="241"/>
        </w:trPr>
        <w:tc>
          <w:tcPr>
            <w:cnfStyle w:val="00100000000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1D5797" w:rsidRPr="009B0208" w:rsidTr="00262179">
        <w:trPr>
          <w:trHeight w:val="232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1D5797" w:rsidRPr="009B0208" w:rsidTr="00262179">
        <w:trPr>
          <w:trHeight w:val="253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D2. Skvalitnenie a rozšírenie kapacít predškolských zariadení</w:t>
            </w:r>
          </w:p>
        </w:tc>
      </w:tr>
      <w:tr w:rsidR="001D5797" w:rsidRPr="009B0208" w:rsidTr="00262179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Skvalitnenie a rozšírenie kapacít predškolských zariadení (materských škôl):</w:t>
            </w:r>
          </w:p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vybudovanie, rekonštrukcia alebo modernizácia prostredníctvom stavebno-technických úprav materskej školy,</w:t>
            </w:r>
          </w:p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materiálno-technické vybavenie materskej školy,</w:t>
            </w:r>
          </w:p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- úpravy areálu materskej školy (detské ihriská, športové zariadenia pre deti  uzavretých aj otvorených areálov s možnosťou celoročnej prevádzky, záhrad vrátane prvkov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inkluzívneho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vzdelávania a pod.);</w:t>
            </w:r>
          </w:p>
        </w:tc>
      </w:tr>
      <w:tr w:rsidR="001D5797" w:rsidRPr="009B0208" w:rsidTr="00262179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1D5797" w:rsidRPr="009B0208" w:rsidTr="00262179">
        <w:trPr>
          <w:trHeight w:val="290"/>
        </w:trPr>
        <w:tc>
          <w:tcPr>
            <w:cnfStyle w:val="00100000000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:rsidR="001D5797" w:rsidRPr="009B0208" w:rsidRDefault="001D5797" w:rsidP="00262179">
            <w:pPr>
              <w:cnfStyle w:val="00000000000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1D5797" w:rsidRPr="009B0208" w:rsidTr="00262179">
        <w:trPr>
          <w:trHeight w:val="354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–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obstaranie softvéru vrátane výdavkov na obstaranie licencií súvisiacich s používaním softvéru – napr. multilicencie, skupinové licencie, atď. (oprávnený je základný softvér – základné programové vybavenie umožňujúce prácu s PC a aplikačný softvér/nadstavbový softvér, ktorý užívateľ používa výlučne v súvislosti so vzdelávacím procesom v MŠ), 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modernizácia softvéru – napr.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upgrade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(pridávanie nových funkcionalít zhodnocujúcich softvér) súvisiacim so vzdelávacím procesom v MŠ.</w:t>
            </w:r>
          </w:p>
        </w:tc>
      </w:tr>
      <w:tr w:rsidR="001D5797" w:rsidRPr="009B0208" w:rsidTr="00262179">
        <w:trPr>
          <w:trHeight w:val="354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MŠ, 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 modernizácia budov MŠ, 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MŠ, 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výstavba, rekonštrukcia a modernizácia školskej jedálne, výdajne školskej jedálne vrátane zariadenia, 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stavebno-technické úpravy areálu MŠ vrátane detských ihrísk, športových zariadení pre deti – uzavretých aj otvorených s možnosťou celoročnej prevádzky, záhrad vrátane prvkov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inkluzívneho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vzdelávania, sadové úpravy a zeleň, 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ako doplnková aktivita k stavebným úpravám budov: rekonštrukcia stavieb so zameraním na zvyšovanie energetickej hospodárnosti budov 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</w:tc>
      </w:tr>
      <w:tr w:rsidR="001D5797" w:rsidRPr="009B0208" w:rsidTr="00262179">
        <w:trPr>
          <w:trHeight w:val="417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nákup výpočtovej techniky vrátane príslušenstva (napr. počítačové zostavy, externé disky, tlačiarne, notebooky) bezprostredne súvisiacej s implementáciou projektu,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zariadení vrátane prvého zaškolenia obsluhy (ak relevantné) (napr. vybavenie a zariadenie školskej jedálne, výdajne školskej jedálne, a pod.),</w:t>
            </w:r>
          </w:p>
        </w:tc>
      </w:tr>
      <w:tr w:rsidR="001D5797" w:rsidRPr="009B0208" w:rsidTr="00262179">
        <w:trPr>
          <w:trHeight w:val="417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výpočtovej techniky vrátane príslušenstva (napr. počítačové zostavy, externé disky, tlačiarne, notebooky) bezprostredne súvisiacej s implementáciou projektu,</w:t>
            </w:r>
          </w:p>
          <w:p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zariadení vrátane prvého zaškolenia obsluhy (ak relevantné) (napr. vybavenie a zariadenie školskej jedálne, výdajne školskej jedálne, a pod.),</w:t>
            </w:r>
          </w:p>
        </w:tc>
      </w:tr>
    </w:tbl>
    <w:p w:rsidR="001D5797" w:rsidRPr="001D5797" w:rsidRDefault="001D5797" w:rsidP="001D5797">
      <w:pPr>
        <w:jc w:val="center"/>
      </w:pPr>
    </w:p>
    <w:sectPr w:rsidR="001D5797" w:rsidRPr="001D5797" w:rsidSect="001D579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F18" w:rsidRDefault="00DF1F18" w:rsidP="001D5797">
      <w:r>
        <w:separator/>
      </w:r>
    </w:p>
  </w:endnote>
  <w:endnote w:type="continuationSeparator" w:id="0">
    <w:p w:rsidR="00DF1F18" w:rsidRDefault="00DF1F18" w:rsidP="001D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F18" w:rsidRDefault="00DF1F18" w:rsidP="001D5797">
      <w:r>
        <w:separator/>
      </w:r>
    </w:p>
  </w:footnote>
  <w:footnote w:type="continuationSeparator" w:id="0">
    <w:p w:rsidR="00DF1F18" w:rsidRDefault="00DF1F18" w:rsidP="001D5797">
      <w:r>
        <w:continuationSeparator/>
      </w:r>
    </w:p>
  </w:footnote>
  <w:footnote w:id="1">
    <w:p w:rsidR="001D5797" w:rsidRDefault="001D5797" w:rsidP="001D5797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797" w:rsidRPr="001D5797" w:rsidRDefault="001D5797" w:rsidP="001D5797">
    <w:pPr>
      <w:pStyle w:val="Hlavika"/>
      <w:jc w:val="right"/>
      <w:rPr>
        <w:i/>
        <w:sz w:val="18"/>
        <w:szCs w:val="18"/>
      </w:rPr>
    </w:pPr>
    <w:r w:rsidRPr="001D5797">
      <w:rPr>
        <w:i/>
        <w:sz w:val="18"/>
        <w:szCs w:val="18"/>
      </w:rPr>
      <w:t>Príloha č. 2 výzvy - Špecifikácia oprávnených aktivít a oprávnených výdavkov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797"/>
    <w:rsid w:val="00180398"/>
    <w:rsid w:val="001D5797"/>
    <w:rsid w:val="00DB0356"/>
    <w:rsid w:val="00DF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579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1D57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D5797"/>
  </w:style>
  <w:style w:type="paragraph" w:styleId="Pta">
    <w:name w:val="footer"/>
    <w:basedOn w:val="Normlny"/>
    <w:link w:val="PtaChar"/>
    <w:uiPriority w:val="99"/>
    <w:semiHidden/>
    <w:unhideWhenUsed/>
    <w:rsid w:val="001D57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D5797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1D5797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1D5797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1D5797"/>
    <w:pPr>
      <w:ind w:left="720"/>
      <w:contextualSpacing/>
    </w:pPr>
  </w:style>
  <w:style w:type="table" w:styleId="Mriekatabuky">
    <w:name w:val="Table Grid"/>
    <w:basedOn w:val="Normlnatabuka"/>
    <w:uiPriority w:val="59"/>
    <w:rsid w:val="001D579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1D5797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1D5797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1D5797"/>
  </w:style>
  <w:style w:type="character" w:styleId="Zvraznenie">
    <w:name w:val="Emphasis"/>
    <w:basedOn w:val="Predvolenpsmoodseku"/>
    <w:uiPriority w:val="20"/>
    <w:qFormat/>
    <w:rsid w:val="001D5797"/>
    <w:rPr>
      <w:i/>
      <w:iCs/>
    </w:rPr>
  </w:style>
  <w:style w:type="paragraph" w:customStyle="1" w:styleId="Default">
    <w:name w:val="Default"/>
    <w:rsid w:val="001D5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1D5797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2020-04-14T07:11:00Z</dcterms:created>
  <dcterms:modified xsi:type="dcterms:W3CDTF">2020-04-14T07:15:00Z</dcterms:modified>
</cp:coreProperties>
</file>